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AB" w:rsidRPr="008E7033" w:rsidRDefault="00BF50AB" w:rsidP="00BF50AB">
      <w:pPr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bookmarkStart w:id="0" w:name="_GoBack"/>
      <w:r w:rsidRPr="008E7033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附件</w:t>
      </w:r>
      <w:r w:rsidR="00351DE0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1</w:t>
      </w:r>
    </w:p>
    <w:p w:rsidR="00BF50AB" w:rsidRPr="008E7033" w:rsidRDefault="00BF50AB" w:rsidP="00BF50AB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8E7033">
        <w:rPr>
          <w:rFonts w:ascii="黑体" w:eastAsia="黑体" w:hAnsi="黑体"/>
          <w:color w:val="000000"/>
          <w:sz w:val="32"/>
          <w:szCs w:val="32"/>
        </w:rPr>
        <w:t>职业生涯规划书内容要求</w:t>
      </w:r>
    </w:p>
    <w:p w:rsidR="00BF50AB" w:rsidRPr="00476745" w:rsidRDefault="00BF50AB" w:rsidP="00BF50AB">
      <w:pPr>
        <w:rPr>
          <w:rFonts w:ascii="仿宋" w:eastAsia="仿宋" w:hAnsi="仿宋"/>
          <w:b/>
          <w:color w:val="000000"/>
          <w:sz w:val="32"/>
          <w:szCs w:val="32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1389"/>
        <w:gridCol w:w="7231"/>
      </w:tblGrid>
      <w:tr w:rsidR="00BF50AB" w:rsidRPr="008E7033" w:rsidTr="009C378A">
        <w:trPr>
          <w:trHeight w:val="363"/>
          <w:jc w:val="center"/>
        </w:trPr>
        <w:tc>
          <w:tcPr>
            <w:tcW w:w="953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职业生涯规划书</w:t>
            </w:r>
          </w:p>
        </w:tc>
        <w:tc>
          <w:tcPr>
            <w:tcW w:w="1307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具体描述</w:t>
            </w:r>
          </w:p>
        </w:tc>
      </w:tr>
      <w:tr w:rsidR="00BF50AB" w:rsidRPr="008E7033" w:rsidTr="009C378A">
        <w:trPr>
          <w:trHeight w:val="651"/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自我认知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1.自我分析清晰、全面、深入、客观，能清楚地认识到自己的优劣势</w:t>
            </w:r>
          </w:p>
        </w:tc>
      </w:tr>
      <w:tr w:rsidR="00BF50AB" w:rsidRPr="008E7033" w:rsidTr="009C378A">
        <w:trPr>
          <w:trHeight w:val="564"/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2.将人才测评量化分析与自我深入分析综合客观地评价自我，职业兴趣、职业能力、职业价值观、个性特征分析全面、到位</w:t>
            </w:r>
          </w:p>
        </w:tc>
      </w:tr>
      <w:tr w:rsidR="00BF50AB" w:rsidRPr="008E7033" w:rsidTr="009C378A">
        <w:trPr>
          <w:trHeight w:val="417"/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3.从个人兴趣爱好、成长经历社会实践中分析自我</w:t>
            </w:r>
          </w:p>
        </w:tc>
      </w:tr>
      <w:tr w:rsidR="00BF50AB" w:rsidRPr="008E7033" w:rsidTr="009C378A">
        <w:trPr>
          <w:trHeight w:val="367"/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4.自我评估理论、模型应用正确、合理</w:t>
            </w:r>
          </w:p>
        </w:tc>
      </w:tr>
      <w:tr w:rsidR="00BF50AB" w:rsidRPr="008E7033" w:rsidTr="009C378A">
        <w:trPr>
          <w:trHeight w:val="415"/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职业认知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5.了解社会的整体就业趋势，并且了解大学生就业状况</w:t>
            </w:r>
          </w:p>
        </w:tc>
      </w:tr>
      <w:tr w:rsidR="00BF50AB" w:rsidRPr="008E7033" w:rsidTr="009C378A">
        <w:trPr>
          <w:trHeight w:val="421"/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6.对目标职业所处行业的现状及前景了解清晰，了解行业就业需求</w:t>
            </w:r>
          </w:p>
        </w:tc>
      </w:tr>
      <w:tr w:rsidR="00BF50AB" w:rsidRPr="008E7033" w:rsidTr="009C378A">
        <w:trPr>
          <w:trHeight w:val="649"/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7.熟悉目标职业的工作内容、工作环境、典型生活方式，了解目标职业的待遇、未来发展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8.对目标职位的进入途径、胜任标准了解清晰，深入了解目标职业对生活的影响</w:t>
            </w:r>
          </w:p>
        </w:tc>
      </w:tr>
      <w:tr w:rsidR="00BF50AB" w:rsidRPr="008E7033" w:rsidTr="009C378A">
        <w:trPr>
          <w:trHeight w:val="359"/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9.在探索过程中应用到文献检索、访谈、见习、实习等方法。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职业决策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10.职业目标确定和发展路径设计要符合外部环境和个人特质（兴趣、技能、特质、价值观），要符合实际、可执行、可实现</w:t>
            </w:r>
          </w:p>
        </w:tc>
      </w:tr>
      <w:tr w:rsidR="00BF50AB" w:rsidRPr="008E7033" w:rsidTr="009C378A">
        <w:trPr>
          <w:trHeight w:val="584"/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11.对照自我认知和职业认知的结果，分析自己优、劣势及面临的机会和挑战，职业目标的选择过程阐述详尽，合乎逻辑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12.备选目标要充分根据个人与环境的评估进行分析确定，备选目标职业发展路径与首选目标发展路径要有一定联系性</w:t>
            </w:r>
          </w:p>
        </w:tc>
      </w:tr>
      <w:tr w:rsidR="00BF50AB" w:rsidRPr="008E7033" w:rsidTr="009C378A">
        <w:trPr>
          <w:trHeight w:val="317"/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13.能够正确运用评估理论和决策模型做出决策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计划与路径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14.行动计划对保持个人优势、加强个人不足、全面提升个人竞争力有针对性、可操作性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15.近期计划详尽清晰、可操作性强，中期计划清晰并具有灵活性，长期计划具有方向性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16.职业发展路径充分考虑进入途径、胜任标准等探索结果，符合逻辑和现实，具有可操作性和竞争力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评估与调整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17.对行动计划和职业目标设定评估方案，如要达到什么标准，评估的要素是什么</w:t>
            </w:r>
          </w:p>
        </w:tc>
      </w:tr>
      <w:tr w:rsidR="00BF50AB" w:rsidRPr="008E7033" w:rsidTr="009C378A">
        <w:trPr>
          <w:trHeight w:val="422"/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18.能够对行动计划实施过程和风险做出评估，并制定切实可行的调整方案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19.调整方案的制定充分根据个人与环境的评估进行分析确定，充分考虑首选目标与备选目标间的联系和差异，具有可操作性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职业道德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20.分析目标职业岗位的职业道德的内容、表现形式、调节范围、产生的效果等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参赛作品设计要求</w:t>
            </w:r>
          </w:p>
        </w:tc>
        <w:tc>
          <w:tcPr>
            <w:tcW w:w="1307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作品完整性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内容完整，对自我和外部环境进行全面分析，提出自己的职业目标、发展路径和行动计划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作品思路和逻辑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  <w:tr w:rsidR="00BF50AB" w:rsidRPr="008E7033" w:rsidTr="009C378A">
        <w:trPr>
          <w:jc w:val="center"/>
        </w:trPr>
        <w:tc>
          <w:tcPr>
            <w:tcW w:w="953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snapToGrid w:val="0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snapToGrid w:val="0"/>
                <w:color w:val="000000"/>
                <w:sz w:val="28"/>
                <w:szCs w:val="28"/>
              </w:rPr>
              <w:t>作品美观性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格式清晰，版面大方美观，创意新颖</w:t>
            </w:r>
          </w:p>
        </w:tc>
      </w:tr>
    </w:tbl>
    <w:p w:rsidR="00BF50AB" w:rsidRPr="007B7B9A" w:rsidRDefault="00BF50AB" w:rsidP="00BF50AB">
      <w:pPr>
        <w:spacing w:line="320" w:lineRule="exact"/>
        <w:rPr>
          <w:rFonts w:ascii="仿宋" w:eastAsia="仿宋" w:hAnsi="仿宋"/>
          <w:sz w:val="32"/>
          <w:szCs w:val="32"/>
        </w:rPr>
      </w:pPr>
    </w:p>
    <w:p w:rsidR="00BF50AB" w:rsidRPr="008E7033" w:rsidRDefault="00BF50AB" w:rsidP="00BF50AB">
      <w:pPr>
        <w:spacing w:line="320" w:lineRule="exact"/>
        <w:rPr>
          <w:rFonts w:asciiTheme="minorEastAsia" w:eastAsiaTheme="minorEastAsia" w:hAnsiTheme="minorEastAsia"/>
          <w:sz w:val="28"/>
          <w:szCs w:val="28"/>
        </w:rPr>
      </w:pPr>
      <w:r w:rsidRPr="008E7033">
        <w:rPr>
          <w:rFonts w:asciiTheme="minorEastAsia" w:eastAsiaTheme="minorEastAsia" w:hAnsiTheme="minorEastAsia" w:hint="eastAsia"/>
          <w:sz w:val="28"/>
          <w:szCs w:val="28"/>
        </w:rPr>
        <w:t>注：《大学生职业生涯规划书》必须有扉页，扉页填写参赛者的姓名、性别、学院、班级、学号、联系电话、电子邮件。电子版必须为</w:t>
      </w:r>
      <w:r w:rsidRPr="008E7033">
        <w:rPr>
          <w:rFonts w:asciiTheme="minorEastAsia" w:eastAsiaTheme="minorEastAsia" w:hAnsiTheme="minorEastAsia"/>
          <w:sz w:val="28"/>
          <w:szCs w:val="28"/>
        </w:rPr>
        <w:t>Microsoft Word</w:t>
      </w:r>
      <w:r w:rsidRPr="008E7033">
        <w:rPr>
          <w:rFonts w:asciiTheme="minorEastAsia" w:eastAsiaTheme="minorEastAsia" w:hAnsiTheme="minorEastAsia" w:hint="eastAsia"/>
          <w:sz w:val="28"/>
          <w:szCs w:val="28"/>
        </w:rPr>
        <w:t>格式（</w:t>
      </w:r>
      <w:r w:rsidRPr="008E7033">
        <w:rPr>
          <w:rFonts w:asciiTheme="minorEastAsia" w:eastAsiaTheme="minorEastAsia" w:hAnsiTheme="minorEastAsia"/>
          <w:sz w:val="28"/>
          <w:szCs w:val="28"/>
        </w:rPr>
        <w:t>*.doc</w:t>
      </w:r>
      <w:r w:rsidRPr="008E7033">
        <w:rPr>
          <w:rFonts w:asciiTheme="minorEastAsia" w:eastAsiaTheme="minorEastAsia" w:hAnsiTheme="minorEastAsia" w:hint="eastAsia"/>
          <w:sz w:val="28"/>
          <w:szCs w:val="28"/>
        </w:rPr>
        <w:t>文件）。</w:t>
      </w:r>
    </w:p>
    <w:p w:rsidR="00BF50AB" w:rsidRDefault="00BF50AB" w:rsidP="00BF50AB">
      <w:pPr>
        <w:rPr>
          <w:rFonts w:ascii="仿宋" w:eastAsia="仿宋" w:hAnsi="仿宋"/>
          <w:b/>
          <w:color w:val="000000"/>
          <w:sz w:val="32"/>
          <w:szCs w:val="32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63E2A" w:rsidRDefault="00D63E2A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BF50AB" w:rsidRPr="008E7033" w:rsidRDefault="00BF50AB" w:rsidP="00BF50AB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E7033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附件</w:t>
      </w:r>
      <w:r w:rsidR="00351DE0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</w:p>
    <w:p w:rsidR="00BF50AB" w:rsidRPr="008E7033" w:rsidRDefault="00BF50AB" w:rsidP="00BF50AB">
      <w:pPr>
        <w:spacing w:line="40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E7033">
        <w:rPr>
          <w:rFonts w:ascii="黑体" w:eastAsia="黑体" w:hAnsi="黑体" w:hint="eastAsia"/>
          <w:color w:val="000000"/>
          <w:sz w:val="32"/>
          <w:szCs w:val="32"/>
        </w:rPr>
        <w:t>大赛评分标准（百分制）</w:t>
      </w:r>
    </w:p>
    <w:p w:rsidR="00BF50AB" w:rsidRPr="00084279" w:rsidRDefault="00BF50AB" w:rsidP="00BF50AB">
      <w:pPr>
        <w:spacing w:line="400" w:lineRule="exact"/>
        <w:rPr>
          <w:rFonts w:ascii="仿宋" w:eastAsia="仿宋" w:hAnsi="仿宋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6804"/>
        <w:gridCol w:w="786"/>
      </w:tblGrid>
      <w:tr w:rsidR="00BF50AB" w:rsidRPr="008E7033" w:rsidTr="009C378A">
        <w:trPr>
          <w:trHeight w:val="420"/>
        </w:trPr>
        <w:tc>
          <w:tcPr>
            <w:tcW w:w="152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评分要素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ind w:firstLineChars="700" w:firstLine="19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评分要点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BF50AB" w:rsidRPr="008E7033" w:rsidTr="009C378A">
        <w:trPr>
          <w:trHeight w:val="733"/>
        </w:trPr>
        <w:tc>
          <w:tcPr>
            <w:tcW w:w="1526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职业生涯规划书</w:t>
            </w:r>
          </w:p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（40%）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格式符合要求，结构设计合理、完整，条理清晰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</w:tr>
      <w:tr w:rsidR="00BF50AB" w:rsidRPr="008E7033" w:rsidTr="009C378A">
        <w:trPr>
          <w:trHeight w:val="774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目标明确，内容真实，论证充分，可操作性强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20</w:t>
            </w:r>
          </w:p>
        </w:tc>
      </w:tr>
      <w:tr w:rsidR="00BF50AB" w:rsidRPr="008E7033" w:rsidTr="009C378A">
        <w:trPr>
          <w:trHeight w:val="615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体现个人创意与特色，具有创新性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</w:tr>
      <w:tr w:rsidR="00BF50AB" w:rsidRPr="008E7033" w:rsidTr="009C378A">
        <w:trPr>
          <w:trHeight w:val="915"/>
        </w:trPr>
        <w:tc>
          <w:tcPr>
            <w:tcW w:w="1526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职场体验VCR（20%）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匹配度强，能展现目标职业所需的核心能力和基本素养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</w:tr>
      <w:tr w:rsidR="00BF50AB" w:rsidRPr="008E7033" w:rsidTr="009C378A">
        <w:trPr>
          <w:trHeight w:val="928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视频画面音质流畅，有表现力，能有效调动评委和观众情绪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</w:tr>
      <w:tr w:rsidR="00BF50AB" w:rsidRPr="008E7033" w:rsidTr="009C378A">
        <w:trPr>
          <w:trHeight w:val="770"/>
        </w:trPr>
        <w:tc>
          <w:tcPr>
            <w:tcW w:w="1526" w:type="dxa"/>
            <w:vMerge w:val="restart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现场展示及问题回答</w:t>
            </w:r>
          </w:p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（40%）</w:t>
            </w: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着装仪容得体，精神饱满，表情自然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BF50AB" w:rsidRPr="008E7033" w:rsidTr="009C378A">
        <w:trPr>
          <w:trHeight w:val="780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脱稿陈述，语言表达清晰、流畅，语速适中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BF50AB" w:rsidRPr="008E7033" w:rsidTr="009C378A">
        <w:trPr>
          <w:trHeight w:val="917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能够全面、完整、准确陈述生涯规划书内容，把握核心，重点突出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</w:tr>
      <w:tr w:rsidR="00BF50AB" w:rsidRPr="008E7033" w:rsidTr="009C378A">
        <w:trPr>
          <w:trHeight w:val="916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现场表现力强，富有感染力与表现力，能吸引评委注意，调动观众情绪，现场气氛较好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BF50AB" w:rsidRPr="008E7033" w:rsidTr="009C378A">
        <w:trPr>
          <w:trHeight w:val="981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PPT设计美观、大方，简明扼要，层次清晰，结论明确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BF50AB" w:rsidRPr="008E7033" w:rsidTr="009C378A">
        <w:trPr>
          <w:trHeight w:val="768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文字解说与PPT展示能够很好结合，时间控制合理（不超过5分钟）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BF50AB" w:rsidRPr="008E7033" w:rsidTr="009C378A">
        <w:trPr>
          <w:trHeight w:val="768"/>
        </w:trPr>
        <w:tc>
          <w:tcPr>
            <w:tcW w:w="1526" w:type="dxa"/>
            <w:vMerge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能够正确理解评委所提问题，及时准确应答，切合题意，条理清晰，结论明确，重点突出；回答流畅，现场应变能力强，综合表现佳</w:t>
            </w:r>
          </w:p>
        </w:tc>
        <w:tc>
          <w:tcPr>
            <w:tcW w:w="786" w:type="dxa"/>
            <w:vAlign w:val="center"/>
          </w:tcPr>
          <w:p w:rsidR="00BF50AB" w:rsidRPr="008E7033" w:rsidRDefault="00BF50AB" w:rsidP="008E703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8E7033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</w:tbl>
    <w:p w:rsidR="00271CC7" w:rsidRDefault="00271CC7" w:rsidP="00BF50AB">
      <w:pPr>
        <w:wordWrap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71CC7" w:rsidRDefault="00271CC7" w:rsidP="00BF50AB">
      <w:pPr>
        <w:wordWrap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71CC7" w:rsidRDefault="00271CC7" w:rsidP="00BF50AB">
      <w:pPr>
        <w:wordWrap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BF50AB" w:rsidRPr="00765E0C" w:rsidRDefault="00765E0C" w:rsidP="00BF50AB">
      <w:pPr>
        <w:wordWrap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65E0C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附件</w:t>
      </w:r>
      <w:r w:rsidR="00351DE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</w:p>
    <w:p w:rsidR="00765E0C" w:rsidRPr="00765E0C" w:rsidRDefault="00765E0C" w:rsidP="00765E0C">
      <w:pPr>
        <w:spacing w:after="0" w:line="380" w:lineRule="exact"/>
        <w:ind w:leftChars="500" w:left="1100" w:firstLineChars="150" w:firstLine="480"/>
        <w:rPr>
          <w:rFonts w:ascii="黑体" w:eastAsia="黑体" w:hAnsi="黑体"/>
          <w:color w:val="000000"/>
          <w:sz w:val="32"/>
          <w:szCs w:val="32"/>
        </w:rPr>
      </w:pPr>
      <w:r w:rsidRPr="00765E0C">
        <w:rPr>
          <w:rFonts w:ascii="黑体" w:eastAsia="黑体" w:hAnsi="黑体" w:hint="eastAsia"/>
          <w:color w:val="000000"/>
          <w:sz w:val="32"/>
          <w:szCs w:val="32"/>
        </w:rPr>
        <w:t>各学院职业生涯规划大赛名额分配表</w:t>
      </w:r>
    </w:p>
    <w:p w:rsidR="00765E0C" w:rsidRDefault="00765E0C" w:rsidP="00BF50AB">
      <w:pPr>
        <w:wordWrap w:val="0"/>
        <w:rPr>
          <w:rFonts w:ascii="仿宋" w:eastAsia="仿宋" w:hAnsi="仿宋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4111"/>
      </w:tblGrid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4111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拟推荐名额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社会科学学院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文学院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商学院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艺术学院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数学与信息学院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理工学院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5C6CD7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5C6CD7" w:rsidRPr="007B7B9A" w:rsidRDefault="005C6CD7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土木工程学院</w:t>
            </w:r>
          </w:p>
        </w:tc>
        <w:tc>
          <w:tcPr>
            <w:tcW w:w="4111" w:type="dxa"/>
            <w:vAlign w:val="center"/>
          </w:tcPr>
          <w:p w:rsidR="005C6CD7" w:rsidRPr="007B7B9A" w:rsidRDefault="00D71092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C45714" w:rsidRPr="007B7B9A" w:rsidTr="00DC49D8">
        <w:trPr>
          <w:trHeight w:val="470"/>
          <w:jc w:val="center"/>
        </w:trPr>
        <w:tc>
          <w:tcPr>
            <w:tcW w:w="3410" w:type="dxa"/>
            <w:vAlign w:val="center"/>
          </w:tcPr>
          <w:p w:rsidR="00C45714" w:rsidRDefault="00C45714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4111" w:type="dxa"/>
            <w:vAlign w:val="center"/>
          </w:tcPr>
          <w:p w:rsidR="00C45714" w:rsidRDefault="00C45714" w:rsidP="00DC49D8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35人</w:t>
            </w:r>
          </w:p>
        </w:tc>
      </w:tr>
    </w:tbl>
    <w:p w:rsidR="00C45714" w:rsidRDefault="00C45714" w:rsidP="00C45714">
      <w:pPr>
        <w:wordWrap w:val="0"/>
        <w:spacing w:after="0"/>
        <w:rPr>
          <w:rFonts w:ascii="仿宋" w:eastAsia="仿宋" w:hAnsi="仿宋"/>
          <w:color w:val="000000"/>
          <w:sz w:val="32"/>
          <w:szCs w:val="32"/>
        </w:rPr>
      </w:pPr>
    </w:p>
    <w:p w:rsidR="00C45714" w:rsidRDefault="001C510E" w:rsidP="00C45714">
      <w:pPr>
        <w:wordWrap w:val="0"/>
        <w:spacing w:after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说明：各学院拟推荐名额按照学院大一大二大三在校生总数的</w:t>
      </w:r>
    </w:p>
    <w:p w:rsidR="005C6CD7" w:rsidRDefault="001C510E" w:rsidP="00C45714">
      <w:pPr>
        <w:wordWrap w:val="0"/>
        <w:spacing w:after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0.2%计算，计算结果四舍五入。</w:t>
      </w:r>
    </w:p>
    <w:p w:rsidR="005C6CD7" w:rsidRPr="005C6CD7" w:rsidRDefault="005C6CD7" w:rsidP="005C6CD7">
      <w:pPr>
        <w:rPr>
          <w:rFonts w:ascii="仿宋" w:eastAsia="仿宋" w:hAnsi="仿宋"/>
          <w:sz w:val="32"/>
          <w:szCs w:val="32"/>
        </w:rPr>
      </w:pPr>
    </w:p>
    <w:p w:rsidR="005C6CD7" w:rsidRDefault="005C6CD7" w:rsidP="005C6CD7">
      <w:pPr>
        <w:rPr>
          <w:rFonts w:ascii="仿宋" w:eastAsia="仿宋" w:hAnsi="仿宋"/>
          <w:sz w:val="32"/>
          <w:szCs w:val="32"/>
        </w:rPr>
      </w:pPr>
    </w:p>
    <w:p w:rsidR="005C6CD7" w:rsidRDefault="005C6CD7" w:rsidP="005C6CD7">
      <w:pPr>
        <w:tabs>
          <w:tab w:val="left" w:pos="8088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5C6CD7" w:rsidRDefault="005C6CD7" w:rsidP="005C6CD7">
      <w:pPr>
        <w:rPr>
          <w:rFonts w:ascii="仿宋" w:eastAsia="仿宋" w:hAnsi="仿宋"/>
          <w:sz w:val="32"/>
          <w:szCs w:val="32"/>
        </w:rPr>
      </w:pPr>
    </w:p>
    <w:p w:rsidR="005C6CD7" w:rsidRPr="005C6CD7" w:rsidRDefault="005C6CD7" w:rsidP="005C6CD7">
      <w:pPr>
        <w:rPr>
          <w:rFonts w:ascii="仿宋" w:eastAsia="仿宋" w:hAnsi="仿宋"/>
          <w:sz w:val="32"/>
          <w:szCs w:val="32"/>
        </w:rPr>
        <w:sectPr w:rsidR="005C6CD7" w:rsidRPr="005C6CD7" w:rsidSect="00314A2F">
          <w:pgSz w:w="11906" w:h="16838"/>
          <w:pgMar w:top="1418" w:right="1418" w:bottom="1418" w:left="1588" w:header="851" w:footer="992" w:gutter="0"/>
          <w:cols w:space="425"/>
          <w:docGrid w:type="lines" w:linePitch="312"/>
        </w:sectPr>
      </w:pPr>
    </w:p>
    <w:p w:rsidR="00BF50AB" w:rsidRPr="008E7033" w:rsidRDefault="00BF50AB" w:rsidP="00BF50AB">
      <w:pPr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E7033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附件</w:t>
      </w:r>
      <w:r w:rsidR="00351DE0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</w:p>
    <w:p w:rsidR="00BF50AB" w:rsidRPr="008E7033" w:rsidRDefault="00BF50AB" w:rsidP="00BF50AB">
      <w:pPr>
        <w:spacing w:line="700" w:lineRule="exact"/>
        <w:jc w:val="center"/>
        <w:rPr>
          <w:rFonts w:ascii="黑体" w:eastAsia="黑体" w:hAnsi="黑体"/>
          <w:color w:val="000000"/>
          <w:spacing w:val="-20"/>
          <w:sz w:val="32"/>
          <w:szCs w:val="32"/>
        </w:rPr>
      </w:pPr>
      <w:r w:rsidRPr="008E7033">
        <w:rPr>
          <w:rFonts w:ascii="黑体" w:eastAsia="黑体" w:hAnsi="黑体" w:hint="eastAsia"/>
          <w:color w:val="000000"/>
          <w:spacing w:val="-20"/>
          <w:sz w:val="32"/>
          <w:szCs w:val="32"/>
        </w:rPr>
        <w:t>信阳学院</w:t>
      </w:r>
      <w:r w:rsidR="008E7033" w:rsidRPr="008E7033">
        <w:rPr>
          <w:rFonts w:ascii="黑体" w:eastAsia="黑体" w:hAnsi="黑体" w:hint="eastAsia"/>
          <w:color w:val="000000"/>
          <w:spacing w:val="-20"/>
          <w:sz w:val="32"/>
          <w:szCs w:val="32"/>
        </w:rPr>
        <w:t>2018</w:t>
      </w:r>
      <w:r w:rsidRPr="008E7033">
        <w:rPr>
          <w:rFonts w:ascii="黑体" w:eastAsia="黑体" w:hAnsi="黑体" w:hint="eastAsia"/>
          <w:color w:val="000000"/>
          <w:spacing w:val="-20"/>
          <w:sz w:val="32"/>
          <w:szCs w:val="32"/>
        </w:rPr>
        <w:t>年大学生职业生涯规划大赛参赛作品</w:t>
      </w:r>
      <w:r w:rsidRPr="008E7033">
        <w:rPr>
          <w:rFonts w:ascii="黑体" w:eastAsia="黑体" w:hAnsi="黑体" w:cs="宋体" w:hint="eastAsia"/>
          <w:color w:val="000000"/>
          <w:spacing w:val="-20"/>
          <w:sz w:val="32"/>
          <w:szCs w:val="32"/>
        </w:rPr>
        <w:t>汇总</w:t>
      </w:r>
      <w:r w:rsidRPr="008E7033">
        <w:rPr>
          <w:rFonts w:ascii="黑体" w:eastAsia="黑体" w:hAnsi="黑体" w:hint="eastAsia"/>
          <w:color w:val="000000"/>
          <w:spacing w:val="-20"/>
          <w:sz w:val="32"/>
          <w:szCs w:val="32"/>
        </w:rPr>
        <w:t>表</w:t>
      </w:r>
    </w:p>
    <w:p w:rsidR="00BF50AB" w:rsidRPr="007B7B9A" w:rsidRDefault="00BF50AB" w:rsidP="00BF50AB">
      <w:pPr>
        <w:spacing w:line="700" w:lineRule="exact"/>
        <w:rPr>
          <w:rFonts w:ascii="仿宋" w:eastAsia="仿宋" w:hAnsi="仿宋"/>
          <w:color w:val="000000"/>
          <w:spacing w:val="-20"/>
          <w:sz w:val="32"/>
          <w:szCs w:val="32"/>
        </w:rPr>
      </w:pPr>
      <w:r w:rsidRPr="007B7B9A">
        <w:rPr>
          <w:rFonts w:ascii="仿宋" w:eastAsia="仿宋" w:hAnsi="仿宋" w:hint="eastAsia"/>
          <w:b/>
          <w:color w:val="000000"/>
          <w:spacing w:val="-20"/>
          <w:sz w:val="32"/>
          <w:szCs w:val="32"/>
        </w:rPr>
        <w:t xml:space="preserve">          学院（盖章）：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2"/>
        <w:gridCol w:w="2260"/>
        <w:gridCol w:w="2160"/>
        <w:gridCol w:w="2152"/>
      </w:tblGrid>
      <w:tr w:rsidR="00BF50AB" w:rsidRPr="007B7B9A" w:rsidTr="009C378A">
        <w:trPr>
          <w:trHeight w:val="470"/>
          <w:jc w:val="center"/>
        </w:trPr>
        <w:tc>
          <w:tcPr>
            <w:tcW w:w="5522" w:type="dxa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B7B9A">
              <w:rPr>
                <w:rFonts w:ascii="仿宋" w:eastAsia="仿宋" w:hAnsi="仿宋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2260" w:type="dxa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B7B9A">
              <w:rPr>
                <w:rFonts w:ascii="仿宋" w:eastAsia="仿宋" w:hAnsi="仿宋"/>
                <w:color w:val="000000"/>
                <w:sz w:val="32"/>
                <w:szCs w:val="32"/>
              </w:rPr>
              <w:t>负  责  人</w:t>
            </w:r>
          </w:p>
        </w:tc>
        <w:tc>
          <w:tcPr>
            <w:tcW w:w="2160" w:type="dxa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B7B9A">
              <w:rPr>
                <w:rFonts w:ascii="仿宋" w:eastAsia="仿宋" w:hAnsi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52" w:type="dxa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B7B9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指导教师</w:t>
            </w:r>
          </w:p>
        </w:tc>
      </w:tr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bookmarkEnd w:id="0"/>
      <w:tr w:rsidR="00BF50AB" w:rsidRPr="007B7B9A" w:rsidTr="009C378A">
        <w:trPr>
          <w:trHeight w:val="470"/>
          <w:jc w:val="center"/>
        </w:trPr>
        <w:tc>
          <w:tcPr>
            <w:tcW w:w="552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:rsidR="00BF50AB" w:rsidRPr="007B7B9A" w:rsidRDefault="00BF50AB" w:rsidP="009C378A">
            <w:pPr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BF50AB" w:rsidRDefault="00BF50AB" w:rsidP="008E7033">
      <w:pPr>
        <w:rPr>
          <w:rFonts w:ascii="仿宋" w:eastAsia="仿宋" w:hAnsi="仿宋" w:cs="Arial"/>
          <w:color w:val="000000"/>
          <w:sz w:val="32"/>
          <w:szCs w:val="32"/>
        </w:rPr>
      </w:pPr>
    </w:p>
    <w:p w:rsidR="00FB676F" w:rsidRPr="0020799C" w:rsidRDefault="00FB676F" w:rsidP="00173754">
      <w:pPr>
        <w:rPr>
          <w:rFonts w:ascii="仿宋" w:eastAsia="仿宋" w:hAnsi="仿宋" w:cs="Arial"/>
          <w:color w:val="000000"/>
          <w:sz w:val="32"/>
          <w:szCs w:val="32"/>
        </w:rPr>
      </w:pPr>
    </w:p>
    <w:p w:rsidR="00663111" w:rsidRPr="0020799C" w:rsidRDefault="00663111" w:rsidP="0020799C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sectPr w:rsidR="00663111" w:rsidRPr="0020799C" w:rsidSect="00080909">
      <w:pgSz w:w="16838" w:h="11906" w:orient="landscape"/>
      <w:pgMar w:top="158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6A11"/>
    <w:multiLevelType w:val="multilevel"/>
    <w:tmpl w:val="346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809B7"/>
    <w:multiLevelType w:val="hybridMultilevel"/>
    <w:tmpl w:val="DC16BA52"/>
    <w:lvl w:ilvl="0" w:tplc="EACE6BEC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0909"/>
    <w:rsid w:val="00095605"/>
    <w:rsid w:val="000C4445"/>
    <w:rsid w:val="00110474"/>
    <w:rsid w:val="00173754"/>
    <w:rsid w:val="001759E2"/>
    <w:rsid w:val="00192272"/>
    <w:rsid w:val="001C510E"/>
    <w:rsid w:val="001D6D16"/>
    <w:rsid w:val="0020799C"/>
    <w:rsid w:val="00210FBC"/>
    <w:rsid w:val="00271CC7"/>
    <w:rsid w:val="00323B43"/>
    <w:rsid w:val="00351DE0"/>
    <w:rsid w:val="00366459"/>
    <w:rsid w:val="003904C9"/>
    <w:rsid w:val="003D37D8"/>
    <w:rsid w:val="00426133"/>
    <w:rsid w:val="004358AB"/>
    <w:rsid w:val="0049015C"/>
    <w:rsid w:val="004D53BA"/>
    <w:rsid w:val="00526180"/>
    <w:rsid w:val="005B448F"/>
    <w:rsid w:val="005C6CD7"/>
    <w:rsid w:val="0065362D"/>
    <w:rsid w:val="00663111"/>
    <w:rsid w:val="0069024A"/>
    <w:rsid w:val="006A5B63"/>
    <w:rsid w:val="006B4379"/>
    <w:rsid w:val="006B5573"/>
    <w:rsid w:val="006C74FE"/>
    <w:rsid w:val="007207EA"/>
    <w:rsid w:val="00765E0C"/>
    <w:rsid w:val="007D2F39"/>
    <w:rsid w:val="00804AE1"/>
    <w:rsid w:val="00811B48"/>
    <w:rsid w:val="00844D5A"/>
    <w:rsid w:val="008B7726"/>
    <w:rsid w:val="008E7033"/>
    <w:rsid w:val="009C50DD"/>
    <w:rsid w:val="009E3862"/>
    <w:rsid w:val="00AE6698"/>
    <w:rsid w:val="00B02D8C"/>
    <w:rsid w:val="00B07529"/>
    <w:rsid w:val="00B47594"/>
    <w:rsid w:val="00BF50AB"/>
    <w:rsid w:val="00C04853"/>
    <w:rsid w:val="00C1687F"/>
    <w:rsid w:val="00C45714"/>
    <w:rsid w:val="00CA4F67"/>
    <w:rsid w:val="00D31D50"/>
    <w:rsid w:val="00D44700"/>
    <w:rsid w:val="00D63E2A"/>
    <w:rsid w:val="00D71092"/>
    <w:rsid w:val="00DC49D8"/>
    <w:rsid w:val="00DC613A"/>
    <w:rsid w:val="00F03D5F"/>
    <w:rsid w:val="00F95E58"/>
    <w:rsid w:val="00FB676F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22D8"/>
  <w15:docId w15:val="{62A9908F-AC3A-4DDF-B22B-BB08ED62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0"/>
    <w:qFormat/>
    <w:rsid w:val="00663111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63111"/>
    <w:rPr>
      <w:rFonts w:ascii="宋体" w:eastAsia="宋体" w:hAnsi="宋体" w:cs="宋体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63111"/>
    <w:rPr>
      <w:color w:val="0000FF"/>
      <w:u w:val="single"/>
    </w:rPr>
  </w:style>
  <w:style w:type="character" w:customStyle="1" w:styleId="attachment">
    <w:name w:val="attachment"/>
    <w:basedOn w:val="a0"/>
    <w:rsid w:val="00663111"/>
  </w:style>
  <w:style w:type="character" w:styleId="a4">
    <w:name w:val="Strong"/>
    <w:basedOn w:val="a0"/>
    <w:qFormat/>
    <w:rsid w:val="00BF50AB"/>
    <w:rPr>
      <w:b/>
      <w:bCs/>
    </w:rPr>
  </w:style>
  <w:style w:type="paragraph" w:customStyle="1" w:styleId="reader-word-layerreader-word-s1-6">
    <w:name w:val="reader-word-layer reader-word-s1-6"/>
    <w:basedOn w:val="a"/>
    <w:rsid w:val="00BF50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9E386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9E3862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1377">
                          <w:marLeft w:val="28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2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5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7271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dashed" w:sz="4" w:space="5" w:color="CCCCCC"/>
            <w:right w:val="none" w:sz="0" w:space="0" w:color="auto"/>
          </w:divBdr>
        </w:div>
        <w:div w:id="830605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4" w:space="6" w:color="CCCCC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huyaowen</cp:lastModifiedBy>
  <cp:revision>2</cp:revision>
  <dcterms:created xsi:type="dcterms:W3CDTF">2018-10-23T08:49:00Z</dcterms:created>
  <dcterms:modified xsi:type="dcterms:W3CDTF">2018-10-23T08:49:00Z</dcterms:modified>
</cp:coreProperties>
</file>